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FD6BE9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VBB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855C1">
        <w:rPr>
          <w:rFonts w:ascii="Arial" w:hAnsi="Arial" w:cs="Arial"/>
          <w:b/>
          <w:sz w:val="20"/>
          <w:szCs w:val="20"/>
        </w:rPr>
        <w:t>Periodical report</w:t>
      </w:r>
      <w:r w:rsidR="00A855C1" w:rsidRPr="00A855C1">
        <w:rPr>
          <w:rFonts w:ascii="Arial" w:hAnsi="Arial" w:cs="Arial"/>
          <w:b/>
          <w:sz w:val="20"/>
          <w:szCs w:val="20"/>
        </w:rPr>
        <w:t xml:space="preserve"> on the </w:t>
      </w:r>
      <w:r w:rsidR="00A855C1" w:rsidRPr="00A855C1">
        <w:rPr>
          <w:rFonts w:ascii="Arial" w:hAnsi="Arial" w:cs="Arial"/>
          <w:b/>
          <w:sz w:val="20"/>
          <w:szCs w:val="20"/>
        </w:rPr>
        <w:t xml:space="preserve">payment </w:t>
      </w:r>
      <w:r w:rsidR="00A855C1" w:rsidRPr="00A855C1">
        <w:rPr>
          <w:rFonts w:ascii="Arial" w:hAnsi="Arial" w:cs="Arial"/>
          <w:b/>
          <w:sz w:val="20"/>
          <w:szCs w:val="20"/>
        </w:rPr>
        <w:t xml:space="preserve">situation of </w:t>
      </w:r>
      <w:r w:rsidR="00A855C1">
        <w:rPr>
          <w:rFonts w:ascii="Arial" w:hAnsi="Arial" w:cs="Arial"/>
          <w:b/>
          <w:sz w:val="20"/>
          <w:szCs w:val="20"/>
        </w:rPr>
        <w:t xml:space="preserve">principal, interest of </w:t>
      </w:r>
      <w:r w:rsidR="00A855C1" w:rsidRPr="00A855C1">
        <w:rPr>
          <w:rFonts w:ascii="Arial" w:hAnsi="Arial" w:cs="Arial"/>
          <w:b/>
          <w:sz w:val="20"/>
          <w:szCs w:val="20"/>
        </w:rPr>
        <w:t>corporate bonds from January 1, 2020 to June 30,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855C1">
        <w:rPr>
          <w:rFonts w:ascii="Arial" w:hAnsi="Arial" w:cs="Arial"/>
          <w:sz w:val="20"/>
          <w:szCs w:val="20"/>
        </w:rPr>
        <w:t>08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FD6BE9" w:rsidRPr="00FD6BE9">
        <w:rPr>
          <w:rFonts w:ascii="Arial" w:hAnsi="Arial" w:cs="Arial"/>
          <w:sz w:val="20"/>
          <w:szCs w:val="20"/>
        </w:rPr>
        <w:t xml:space="preserve">Viet Nam </w:t>
      </w:r>
      <w:proofErr w:type="spellStart"/>
      <w:r w:rsidR="00FD6BE9" w:rsidRPr="00FD6BE9">
        <w:rPr>
          <w:rFonts w:ascii="Arial" w:hAnsi="Arial" w:cs="Arial"/>
          <w:sz w:val="20"/>
          <w:szCs w:val="20"/>
        </w:rPr>
        <w:t>Thuong</w:t>
      </w:r>
      <w:proofErr w:type="spellEnd"/>
      <w:r w:rsidR="00FD6BE9" w:rsidRPr="00FD6BE9">
        <w:rPr>
          <w:rFonts w:ascii="Arial" w:hAnsi="Arial" w:cs="Arial"/>
          <w:sz w:val="20"/>
          <w:szCs w:val="20"/>
        </w:rPr>
        <w:t xml:space="preserve"> Tin Commercial Joint Stock Bank</w:t>
      </w:r>
      <w:r w:rsidR="00FD6BE9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A855C1" w:rsidRPr="00A855C1">
        <w:rPr>
          <w:rFonts w:ascii="Arial" w:hAnsi="Arial" w:cs="Arial"/>
          <w:sz w:val="20"/>
          <w:szCs w:val="20"/>
        </w:rPr>
        <w:t>Periodical report on the payment situation of principal, interest of corporate bonds from January 1, 2020 to June 30, 2020</w:t>
      </w:r>
      <w:r w:rsidR="004B2157" w:rsidRPr="004B2157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855C1" w:rsidRDefault="00A855C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55C1">
        <w:rPr>
          <w:rFonts w:ascii="Arial" w:hAnsi="Arial" w:cs="Arial"/>
          <w:sz w:val="20"/>
          <w:szCs w:val="20"/>
        </w:rPr>
        <w:t xml:space="preserve">Periodical report on the payment situation of principal, </w:t>
      </w:r>
      <w:r w:rsidR="00984B73">
        <w:rPr>
          <w:rFonts w:ascii="Arial" w:hAnsi="Arial" w:cs="Arial"/>
          <w:sz w:val="20"/>
          <w:szCs w:val="20"/>
        </w:rPr>
        <w:t>interest of corporate bonds (January 1, 2020 -</w:t>
      </w:r>
      <w:r w:rsidRPr="00A855C1">
        <w:rPr>
          <w:rFonts w:ascii="Arial" w:hAnsi="Arial" w:cs="Arial"/>
          <w:sz w:val="20"/>
          <w:szCs w:val="20"/>
        </w:rPr>
        <w:t xml:space="preserve"> June 30, 2020</w:t>
      </w:r>
      <w:r w:rsidR="00984B73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1477"/>
        <w:gridCol w:w="950"/>
        <w:gridCol w:w="935"/>
        <w:gridCol w:w="983"/>
        <w:gridCol w:w="925"/>
        <w:gridCol w:w="1005"/>
        <w:gridCol w:w="923"/>
        <w:gridCol w:w="983"/>
        <w:gridCol w:w="923"/>
      </w:tblGrid>
      <w:tr w:rsidR="00BC25E4" w:rsidTr="00F214A6">
        <w:tc>
          <w:tcPr>
            <w:tcW w:w="472" w:type="dxa"/>
            <w:vMerge w:val="restart"/>
          </w:tcPr>
          <w:p w:rsidR="00BC25E4" w:rsidRDefault="00BC25E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477" w:type="dxa"/>
            <w:vMerge w:val="restart"/>
          </w:tcPr>
          <w:p w:rsidR="00BC25E4" w:rsidRDefault="00BC25E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950" w:type="dxa"/>
            <w:vMerge w:val="restart"/>
          </w:tcPr>
          <w:p w:rsidR="00BC25E4" w:rsidRDefault="00BC25E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Issuing date</w:t>
            </w:r>
          </w:p>
        </w:tc>
        <w:tc>
          <w:tcPr>
            <w:tcW w:w="935" w:type="dxa"/>
            <w:vMerge w:val="restart"/>
          </w:tcPr>
          <w:p w:rsidR="00BC25E4" w:rsidRDefault="00BC25E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date</w:t>
            </w:r>
          </w:p>
        </w:tc>
        <w:tc>
          <w:tcPr>
            <w:tcW w:w="1908" w:type="dxa"/>
            <w:gridSpan w:val="2"/>
          </w:tcPr>
          <w:p w:rsidR="00BC25E4" w:rsidRDefault="00BC25E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 balance (VND million)</w:t>
            </w:r>
          </w:p>
        </w:tc>
        <w:tc>
          <w:tcPr>
            <w:tcW w:w="1928" w:type="dxa"/>
            <w:gridSpan w:val="2"/>
          </w:tcPr>
          <w:p w:rsidR="00BC25E4" w:rsidRDefault="00BC25E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in the period (VND million)</w:t>
            </w:r>
          </w:p>
        </w:tc>
        <w:tc>
          <w:tcPr>
            <w:tcW w:w="1906" w:type="dxa"/>
            <w:gridSpan w:val="2"/>
          </w:tcPr>
          <w:p w:rsidR="00BC25E4" w:rsidRDefault="00BC25E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balance (VND million)</w:t>
            </w:r>
          </w:p>
        </w:tc>
      </w:tr>
      <w:tr w:rsidR="00BC25E4" w:rsidTr="00F214A6">
        <w:tc>
          <w:tcPr>
            <w:tcW w:w="472" w:type="dxa"/>
            <w:vMerge/>
          </w:tcPr>
          <w:p w:rsidR="00BC25E4" w:rsidRDefault="00BC25E4" w:rsidP="00BC2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BC25E4" w:rsidRDefault="00BC25E4" w:rsidP="00BC2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BC25E4" w:rsidRDefault="00BC25E4" w:rsidP="00BC2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BC25E4" w:rsidRDefault="00BC25E4" w:rsidP="00BC2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:rsidR="00BC25E4" w:rsidRDefault="00BC25E4" w:rsidP="00BC2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925" w:type="dxa"/>
          </w:tcPr>
          <w:p w:rsidR="00BC25E4" w:rsidRDefault="00BC25E4" w:rsidP="00BC2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</w:t>
            </w:r>
          </w:p>
        </w:tc>
        <w:tc>
          <w:tcPr>
            <w:tcW w:w="1005" w:type="dxa"/>
          </w:tcPr>
          <w:p w:rsidR="00BC25E4" w:rsidRDefault="00BC25E4" w:rsidP="00BC2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923" w:type="dxa"/>
          </w:tcPr>
          <w:p w:rsidR="00BC25E4" w:rsidRDefault="00BC25E4" w:rsidP="00BC2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</w:t>
            </w:r>
          </w:p>
        </w:tc>
        <w:tc>
          <w:tcPr>
            <w:tcW w:w="983" w:type="dxa"/>
          </w:tcPr>
          <w:p w:rsidR="00BC25E4" w:rsidRDefault="00BC25E4" w:rsidP="00BC2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923" w:type="dxa"/>
          </w:tcPr>
          <w:p w:rsidR="00BC25E4" w:rsidRDefault="00BC25E4" w:rsidP="00BC25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</w:t>
            </w:r>
          </w:p>
        </w:tc>
      </w:tr>
      <w:tr w:rsidR="00BC25E4" w:rsidTr="00F214A6">
        <w:tc>
          <w:tcPr>
            <w:tcW w:w="472" w:type="dxa"/>
          </w:tcPr>
          <w:p w:rsidR="0003481E" w:rsidRDefault="00BC25E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7" w:type="dxa"/>
          </w:tcPr>
          <w:p w:rsidR="0003481E" w:rsidRDefault="00BC25E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  <w:tc>
          <w:tcPr>
            <w:tcW w:w="950" w:type="dxa"/>
          </w:tcPr>
          <w:p w:rsidR="0003481E" w:rsidRDefault="00BC25E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Dec 2018</w:t>
            </w:r>
          </w:p>
        </w:tc>
        <w:tc>
          <w:tcPr>
            <w:tcW w:w="935" w:type="dxa"/>
          </w:tcPr>
          <w:p w:rsidR="0003481E" w:rsidRDefault="00BC25E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Dec 2020</w:t>
            </w:r>
          </w:p>
        </w:tc>
        <w:tc>
          <w:tcPr>
            <w:tcW w:w="983" w:type="dxa"/>
          </w:tcPr>
          <w:p w:rsidR="0003481E" w:rsidRDefault="00F214A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270,000</w:t>
            </w:r>
          </w:p>
        </w:tc>
        <w:tc>
          <w:tcPr>
            <w:tcW w:w="925" w:type="dxa"/>
          </w:tcPr>
          <w:p w:rsidR="0003481E" w:rsidRDefault="00F214A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1,165</w:t>
            </w:r>
          </w:p>
        </w:tc>
        <w:tc>
          <w:tcPr>
            <w:tcW w:w="1005" w:type="dxa"/>
          </w:tcPr>
          <w:p w:rsidR="0003481E" w:rsidRDefault="00F214A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:rsidR="0003481E" w:rsidRDefault="00F214A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03481E" w:rsidRDefault="00F214A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270,000</w:t>
            </w:r>
          </w:p>
        </w:tc>
        <w:tc>
          <w:tcPr>
            <w:tcW w:w="923" w:type="dxa"/>
          </w:tcPr>
          <w:p w:rsidR="0003481E" w:rsidRDefault="00F214A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11,262</w:t>
            </w:r>
          </w:p>
        </w:tc>
      </w:tr>
      <w:tr w:rsidR="00BC25E4" w:rsidTr="00F214A6">
        <w:tc>
          <w:tcPr>
            <w:tcW w:w="472" w:type="dxa"/>
          </w:tcPr>
          <w:p w:rsidR="0003481E" w:rsidRDefault="00BC25E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7" w:type="dxa"/>
          </w:tcPr>
          <w:p w:rsidR="0003481E" w:rsidRDefault="00BC25E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  <w:tc>
          <w:tcPr>
            <w:tcW w:w="950" w:type="dxa"/>
          </w:tcPr>
          <w:p w:rsidR="0003481E" w:rsidRDefault="00BC25E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Dec 2018</w:t>
            </w:r>
          </w:p>
        </w:tc>
        <w:tc>
          <w:tcPr>
            <w:tcW w:w="935" w:type="dxa"/>
          </w:tcPr>
          <w:p w:rsidR="0003481E" w:rsidRDefault="00BC25E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Dec 2020</w:t>
            </w:r>
          </w:p>
        </w:tc>
        <w:tc>
          <w:tcPr>
            <w:tcW w:w="983" w:type="dxa"/>
          </w:tcPr>
          <w:p w:rsidR="0003481E" w:rsidRDefault="00F214A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230,000</w:t>
            </w:r>
          </w:p>
        </w:tc>
        <w:tc>
          <w:tcPr>
            <w:tcW w:w="925" w:type="dxa"/>
          </w:tcPr>
          <w:p w:rsidR="0003481E" w:rsidRDefault="00F214A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1005" w:type="dxa"/>
          </w:tcPr>
          <w:p w:rsidR="0003481E" w:rsidRDefault="00F214A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:rsidR="0003481E" w:rsidRDefault="00F214A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03481E" w:rsidRDefault="00F214A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230,000</w:t>
            </w:r>
          </w:p>
        </w:tc>
        <w:tc>
          <w:tcPr>
            <w:tcW w:w="923" w:type="dxa"/>
          </w:tcPr>
          <w:p w:rsidR="0003481E" w:rsidRDefault="00F214A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9,547</w:t>
            </w:r>
          </w:p>
        </w:tc>
      </w:tr>
      <w:tr w:rsidR="00F214A6" w:rsidTr="00F214A6">
        <w:tc>
          <w:tcPr>
            <w:tcW w:w="3834" w:type="dxa"/>
            <w:gridSpan w:val="4"/>
          </w:tcPr>
          <w:p w:rsidR="00F214A6" w:rsidRDefault="00F214A6" w:rsidP="00F214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83" w:type="dxa"/>
          </w:tcPr>
          <w:p w:rsidR="00F214A6" w:rsidRDefault="00F214A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500,000</w:t>
            </w:r>
          </w:p>
        </w:tc>
        <w:tc>
          <w:tcPr>
            <w:tcW w:w="925" w:type="dxa"/>
          </w:tcPr>
          <w:p w:rsidR="00F214A6" w:rsidRDefault="00F214A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2,110</w:t>
            </w:r>
          </w:p>
        </w:tc>
        <w:tc>
          <w:tcPr>
            <w:tcW w:w="1005" w:type="dxa"/>
          </w:tcPr>
          <w:p w:rsidR="00F214A6" w:rsidRDefault="00F214A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:rsidR="00F214A6" w:rsidRDefault="00F214A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3" w:type="dxa"/>
          </w:tcPr>
          <w:p w:rsidR="00F214A6" w:rsidRDefault="00F214A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500,000</w:t>
            </w:r>
          </w:p>
        </w:tc>
        <w:tc>
          <w:tcPr>
            <w:tcW w:w="923" w:type="dxa"/>
          </w:tcPr>
          <w:p w:rsidR="00F214A6" w:rsidRDefault="00F214A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20,809</w:t>
            </w:r>
          </w:p>
        </w:tc>
      </w:tr>
    </w:tbl>
    <w:p w:rsidR="0003481E" w:rsidRDefault="0003481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3481E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605"/>
    <w:rsid w:val="00022849"/>
    <w:rsid w:val="000266C2"/>
    <w:rsid w:val="0003481E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6307"/>
    <w:rsid w:val="00464C5F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157"/>
    <w:rsid w:val="004B2BA6"/>
    <w:rsid w:val="004B4798"/>
    <w:rsid w:val="004B75CD"/>
    <w:rsid w:val="004C144F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372"/>
    <w:rsid w:val="00781EB4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4B8"/>
    <w:rsid w:val="00962777"/>
    <w:rsid w:val="00964DEC"/>
    <w:rsid w:val="009660C5"/>
    <w:rsid w:val="00980267"/>
    <w:rsid w:val="00981275"/>
    <w:rsid w:val="00981536"/>
    <w:rsid w:val="00983DF7"/>
    <w:rsid w:val="00984B73"/>
    <w:rsid w:val="00985126"/>
    <w:rsid w:val="0099040A"/>
    <w:rsid w:val="009A6F47"/>
    <w:rsid w:val="009C28F2"/>
    <w:rsid w:val="009E1744"/>
    <w:rsid w:val="009E4AC5"/>
    <w:rsid w:val="009E5DD2"/>
    <w:rsid w:val="009F0EDD"/>
    <w:rsid w:val="009F2709"/>
    <w:rsid w:val="00A050AA"/>
    <w:rsid w:val="00A06443"/>
    <w:rsid w:val="00A06521"/>
    <w:rsid w:val="00A128FC"/>
    <w:rsid w:val="00A23E8D"/>
    <w:rsid w:val="00A34999"/>
    <w:rsid w:val="00A41A9D"/>
    <w:rsid w:val="00A4710B"/>
    <w:rsid w:val="00A47614"/>
    <w:rsid w:val="00A55C74"/>
    <w:rsid w:val="00A61FAF"/>
    <w:rsid w:val="00A63B6C"/>
    <w:rsid w:val="00A855C1"/>
    <w:rsid w:val="00A87ED0"/>
    <w:rsid w:val="00A92963"/>
    <w:rsid w:val="00AA077E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25E4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214A6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347</cp:revision>
  <dcterms:created xsi:type="dcterms:W3CDTF">2019-10-16T10:03:00Z</dcterms:created>
  <dcterms:modified xsi:type="dcterms:W3CDTF">2020-07-15T09:41:00Z</dcterms:modified>
</cp:coreProperties>
</file>